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EE5C" w14:textId="77777777" w:rsidR="007D5529" w:rsidRDefault="007D5529" w:rsidP="00FE7391">
      <w:pPr>
        <w:jc w:val="center"/>
        <w:rPr>
          <w:rFonts w:asciiTheme="majorBidi" w:hAnsiTheme="majorBidi" w:cstheme="majorBidi"/>
          <w:b/>
          <w:bCs/>
          <w:sz w:val="32"/>
          <w:szCs w:val="32"/>
        </w:rPr>
      </w:pPr>
      <w:bookmarkStart w:id="0" w:name="_Hlk208771533"/>
      <w:r>
        <w:rPr>
          <w:rFonts w:asciiTheme="majorBidi" w:hAnsiTheme="majorBidi" w:cstheme="majorBidi"/>
          <w:noProof/>
          <w:sz w:val="28"/>
          <w:szCs w:val="28"/>
        </w:rPr>
        <w:drawing>
          <wp:inline distT="0" distB="0" distL="0" distR="0" wp14:anchorId="159F5E30" wp14:editId="1E7DAC56">
            <wp:extent cx="1095368" cy="1038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586" cy="1039669"/>
                    </a:xfrm>
                    <a:prstGeom prst="rect">
                      <a:avLst/>
                    </a:prstGeom>
                  </pic:spPr>
                </pic:pic>
              </a:graphicData>
            </a:graphic>
          </wp:inline>
        </w:drawing>
      </w:r>
    </w:p>
    <w:p w14:paraId="02A1A0D7" w14:textId="77777777" w:rsidR="00EC21FE" w:rsidRPr="00EC21FE" w:rsidRDefault="00EC21FE" w:rsidP="00EC21FE">
      <w:pPr>
        <w:bidi/>
        <w:spacing w:after="0" w:line="240" w:lineRule="auto"/>
        <w:jc w:val="center"/>
        <w:rPr>
          <w:rFonts w:ascii="Times New Roman" w:eastAsia="Times New Roman" w:hAnsi="Times New Roman" w:cs="B Nazanin" w:hint="cs"/>
          <w:rtl/>
          <w:lang w:bidi="fa-IR"/>
        </w:rPr>
      </w:pPr>
      <w:proofErr w:type="spellStart"/>
      <w:r w:rsidRPr="00EC21FE">
        <w:rPr>
          <w:rFonts w:ascii="Times New Roman" w:eastAsia="Times New Roman" w:hAnsi="Times New Roman" w:cs="B Nazanin"/>
          <w:b/>
          <w:bCs/>
          <w:lang w:bidi="fa-IR"/>
        </w:rPr>
        <w:t>Shahrekord</w:t>
      </w:r>
      <w:proofErr w:type="spellEnd"/>
      <w:r w:rsidRPr="00EC21FE">
        <w:rPr>
          <w:rFonts w:ascii="Times New Roman" w:eastAsia="Times New Roman" w:hAnsi="Times New Roman" w:cs="B Nazanin"/>
          <w:b/>
          <w:bCs/>
          <w:lang w:bidi="fa-IR"/>
        </w:rPr>
        <w:t xml:space="preserve"> University of Medical Science </w:t>
      </w:r>
    </w:p>
    <w:p w14:paraId="0DA41AA5" w14:textId="77777777" w:rsidR="00EC21FE" w:rsidRPr="00EC21FE" w:rsidRDefault="00EC21FE" w:rsidP="00EC21FE">
      <w:pPr>
        <w:bidi/>
        <w:spacing w:after="0" w:line="240" w:lineRule="auto"/>
        <w:jc w:val="center"/>
        <w:rPr>
          <w:rFonts w:ascii="Times New Roman" w:eastAsia="Times New Roman" w:hAnsi="Times New Roman" w:cs="B Mitra" w:hint="cs"/>
          <w:sz w:val="24"/>
          <w:szCs w:val="24"/>
          <w:rtl/>
          <w:lang w:bidi="fa-IR"/>
        </w:rPr>
      </w:pPr>
    </w:p>
    <w:p w14:paraId="6B9EEACE" w14:textId="77777777" w:rsidR="00EC21FE" w:rsidRPr="00EC21FE" w:rsidRDefault="00EC21FE" w:rsidP="00EC21FE">
      <w:pPr>
        <w:spacing w:after="0" w:line="240" w:lineRule="auto"/>
        <w:jc w:val="center"/>
        <w:rPr>
          <w:rFonts w:ascii="Times New Roman" w:eastAsia="Times New Roman" w:hAnsi="Times New Roman" w:cs="Times New Roman"/>
          <w:b/>
          <w:bCs/>
          <w:sz w:val="36"/>
          <w:szCs w:val="36"/>
          <w:lang w:bidi="fa-IR"/>
        </w:rPr>
      </w:pPr>
      <w:r w:rsidRPr="00EC21FE">
        <w:rPr>
          <w:rFonts w:ascii="Times New Roman" w:eastAsia="Times New Roman" w:hAnsi="Times New Roman" w:cs="Times New Roman"/>
          <w:b/>
          <w:bCs/>
          <w:sz w:val="36"/>
          <w:szCs w:val="36"/>
          <w:lang w:bidi="fa-IR"/>
        </w:rPr>
        <w:t>Vice President for Research</w:t>
      </w:r>
    </w:p>
    <w:p w14:paraId="0F168531" w14:textId="6725AB30" w:rsidR="00DD498D" w:rsidRDefault="00EC21FE" w:rsidP="00EC21FE">
      <w:pPr>
        <w:spacing w:after="0" w:line="240" w:lineRule="auto"/>
        <w:jc w:val="center"/>
        <w:rPr>
          <w:rFonts w:ascii="Times New Roman" w:eastAsia="Times New Roman" w:hAnsi="Times New Roman" w:cs="Times New Roman"/>
          <w:b/>
          <w:bCs/>
          <w:sz w:val="24"/>
          <w:szCs w:val="24"/>
          <w:lang w:bidi="fa-IR"/>
        </w:rPr>
      </w:pPr>
      <w:r w:rsidRPr="00EC21FE">
        <w:rPr>
          <w:rFonts w:ascii="Times New Roman" w:eastAsia="Times New Roman" w:hAnsi="Times New Roman" w:cs="Times New Roman"/>
          <w:b/>
          <w:bCs/>
          <w:sz w:val="36"/>
          <w:szCs w:val="36"/>
          <w:lang w:bidi="fa-IR"/>
        </w:rPr>
        <w:t>Faculty of Medicine</w:t>
      </w:r>
    </w:p>
    <w:bookmarkEnd w:id="0"/>
    <w:p w14:paraId="4D82E411" w14:textId="77777777" w:rsidR="00EC21FE" w:rsidRPr="00EC21FE" w:rsidRDefault="00EC21FE" w:rsidP="00EC21FE">
      <w:pPr>
        <w:spacing w:after="0" w:line="240" w:lineRule="auto"/>
        <w:jc w:val="center"/>
        <w:rPr>
          <w:rFonts w:ascii="Times New Roman" w:eastAsia="Times New Roman" w:hAnsi="Times New Roman" w:cs="Times New Roman"/>
          <w:b/>
          <w:bCs/>
          <w:sz w:val="24"/>
          <w:szCs w:val="24"/>
          <w:lang w:bidi="fa-IR"/>
        </w:rPr>
      </w:pPr>
    </w:p>
    <w:p w14:paraId="2392A2B5" w14:textId="7A3B3C5A" w:rsidR="002F56F2" w:rsidRPr="00EC21FE" w:rsidRDefault="00F948D2" w:rsidP="0086602C">
      <w:pPr>
        <w:spacing w:line="360" w:lineRule="auto"/>
        <w:jc w:val="center"/>
        <w:rPr>
          <w:rFonts w:asciiTheme="majorBidi" w:hAnsiTheme="majorBidi" w:cstheme="majorBidi"/>
          <w:b/>
          <w:bCs/>
        </w:rPr>
      </w:pPr>
      <w:r w:rsidRPr="00EC21FE">
        <w:rPr>
          <w:rFonts w:asciiTheme="majorBidi" w:hAnsiTheme="majorBidi" w:cstheme="majorBidi"/>
          <w:b/>
          <w:bCs/>
          <w:sz w:val="24"/>
          <w:szCs w:val="24"/>
        </w:rPr>
        <w:t xml:space="preserve">Guidelines for Writing MD, Master's, and PhD Theses for International Students at </w:t>
      </w:r>
      <w:proofErr w:type="spellStart"/>
      <w:r w:rsidRPr="00EC21FE">
        <w:rPr>
          <w:rFonts w:asciiTheme="majorBidi" w:hAnsiTheme="majorBidi" w:cstheme="majorBidi"/>
          <w:b/>
          <w:bCs/>
          <w:sz w:val="24"/>
          <w:szCs w:val="24"/>
        </w:rPr>
        <w:t>Shahrekord</w:t>
      </w:r>
      <w:proofErr w:type="spellEnd"/>
      <w:r w:rsidRPr="00EC21FE">
        <w:rPr>
          <w:rFonts w:asciiTheme="majorBidi" w:hAnsiTheme="majorBidi" w:cstheme="majorBidi"/>
          <w:b/>
          <w:bCs/>
          <w:sz w:val="24"/>
          <w:szCs w:val="24"/>
        </w:rPr>
        <w:t xml:space="preserve"> University of Medical Sciences</w:t>
      </w:r>
    </w:p>
    <w:p w14:paraId="00A926C7" w14:textId="77777777" w:rsidR="007D5529" w:rsidRPr="00961C5F" w:rsidRDefault="00FE7391" w:rsidP="002F56F2">
      <w:pPr>
        <w:spacing w:line="360" w:lineRule="auto"/>
        <w:jc w:val="both"/>
        <w:rPr>
          <w:rFonts w:asciiTheme="majorBidi" w:hAnsiTheme="majorBidi" w:cstheme="majorBidi"/>
          <w:b/>
          <w:bCs/>
          <w:sz w:val="24"/>
          <w:szCs w:val="24"/>
        </w:rPr>
      </w:pPr>
      <w:r w:rsidRPr="00961C5F">
        <w:rPr>
          <w:rFonts w:asciiTheme="majorBidi" w:hAnsiTheme="majorBidi" w:cstheme="majorBidi"/>
          <w:b/>
          <w:bCs/>
          <w:sz w:val="24"/>
          <w:szCs w:val="24"/>
        </w:rPr>
        <w:t>Student’s thesis</w:t>
      </w:r>
    </w:p>
    <w:p w14:paraId="0A2EB31F" w14:textId="71F2A67E" w:rsidR="00AB03A4" w:rsidRDefault="007D5529" w:rsidP="00AE5BA6">
      <w:pPr>
        <w:pStyle w:val="ListParagraph"/>
        <w:numPr>
          <w:ilvl w:val="0"/>
          <w:numId w:val="5"/>
        </w:numPr>
        <w:spacing w:line="360" w:lineRule="auto"/>
        <w:jc w:val="both"/>
        <w:rPr>
          <w:rFonts w:asciiTheme="majorBidi" w:hAnsiTheme="majorBidi" w:cstheme="majorBidi"/>
          <w:sz w:val="24"/>
          <w:szCs w:val="24"/>
        </w:rPr>
      </w:pPr>
      <w:r w:rsidRPr="00961C5F">
        <w:rPr>
          <w:rFonts w:asciiTheme="majorBidi" w:hAnsiTheme="majorBidi" w:cstheme="majorBidi"/>
          <w:sz w:val="24"/>
          <w:szCs w:val="24"/>
        </w:rPr>
        <w:t>Preparing a thesis is an essential component of the MSc, General Medicine,</w:t>
      </w:r>
      <w:r w:rsidR="006A48B5" w:rsidRPr="00961C5F">
        <w:rPr>
          <w:rFonts w:asciiTheme="majorBidi" w:hAnsiTheme="majorBidi" w:cstheme="majorBidi"/>
          <w:sz w:val="24"/>
          <w:szCs w:val="24"/>
        </w:rPr>
        <w:t xml:space="preserve"> </w:t>
      </w:r>
      <w:r w:rsidRPr="00961C5F">
        <w:rPr>
          <w:rFonts w:asciiTheme="majorBidi" w:hAnsiTheme="majorBidi" w:cstheme="majorBidi"/>
          <w:sz w:val="24"/>
          <w:szCs w:val="24"/>
        </w:rPr>
        <w:t>and PhD programs. In this process, students are required to conduct a research project related to their field of study</w:t>
      </w:r>
      <w:r w:rsidR="00F948D2" w:rsidRPr="00961C5F">
        <w:rPr>
          <w:rFonts w:asciiTheme="majorBidi" w:hAnsiTheme="majorBidi" w:cstheme="majorBidi"/>
          <w:sz w:val="24"/>
          <w:szCs w:val="24"/>
        </w:rPr>
        <w:t xml:space="preserve"> and the level of education</w:t>
      </w:r>
      <w:r w:rsidRPr="00961C5F">
        <w:rPr>
          <w:rFonts w:asciiTheme="majorBidi" w:hAnsiTheme="majorBidi" w:cstheme="majorBidi"/>
          <w:sz w:val="24"/>
          <w:szCs w:val="24"/>
        </w:rPr>
        <w:t xml:space="preserve"> under the guidance of their supervisor and advisors. The findings of this research are then presented in the form of a thesis.</w:t>
      </w:r>
    </w:p>
    <w:p w14:paraId="04EA347A" w14:textId="77777777" w:rsidR="00AE5BA6" w:rsidRPr="00E726F1" w:rsidRDefault="00AE5BA6" w:rsidP="00AE5BA6">
      <w:pPr>
        <w:pStyle w:val="ListParagraph"/>
        <w:spacing w:line="360" w:lineRule="auto"/>
        <w:ind w:left="810"/>
        <w:jc w:val="both"/>
        <w:rPr>
          <w:rFonts w:asciiTheme="majorBidi" w:hAnsiTheme="majorBidi" w:cstheme="majorBidi"/>
          <w:sz w:val="10"/>
          <w:szCs w:val="10"/>
        </w:rPr>
      </w:pPr>
    </w:p>
    <w:p w14:paraId="61F13888" w14:textId="17E0EC25" w:rsidR="00AE5BA6" w:rsidRPr="00AE5BA6" w:rsidRDefault="006A48B5" w:rsidP="00AE5BA6">
      <w:pPr>
        <w:pStyle w:val="ListParagraph"/>
        <w:numPr>
          <w:ilvl w:val="0"/>
          <w:numId w:val="5"/>
        </w:numPr>
        <w:spacing w:line="360" w:lineRule="auto"/>
        <w:jc w:val="both"/>
        <w:rPr>
          <w:rFonts w:asciiTheme="majorBidi" w:hAnsiTheme="majorBidi" w:cstheme="majorBidi"/>
          <w:sz w:val="24"/>
          <w:szCs w:val="24"/>
        </w:rPr>
      </w:pPr>
      <w:r w:rsidRPr="00961C5F">
        <w:rPr>
          <w:rFonts w:asciiTheme="majorBidi" w:hAnsiTheme="majorBidi" w:cstheme="majorBidi"/>
          <w:sz w:val="24"/>
          <w:szCs w:val="24"/>
        </w:rPr>
        <w:t>Master's students are required to finalize their thesis topic by the end of their third semester and secure approval from the Graduate Studies Council of the faculty</w:t>
      </w:r>
      <w:r w:rsidR="0045519E">
        <w:rPr>
          <w:rFonts w:asciiTheme="majorBidi" w:hAnsiTheme="majorBidi" w:cstheme="majorBidi"/>
          <w:sz w:val="24"/>
          <w:szCs w:val="24"/>
        </w:rPr>
        <w:t xml:space="preserve">. </w:t>
      </w:r>
      <w:r w:rsidR="0045519E" w:rsidRPr="0045519E">
        <w:rPr>
          <w:rFonts w:asciiTheme="majorBidi" w:hAnsiTheme="majorBidi" w:cstheme="majorBidi"/>
          <w:sz w:val="24"/>
          <w:szCs w:val="24"/>
        </w:rPr>
        <w:t>Also, students must complete a research methods course before their thesis receives approval.</w:t>
      </w:r>
    </w:p>
    <w:p w14:paraId="159FB5D6" w14:textId="77777777" w:rsidR="00AE5BA6" w:rsidRPr="00E726F1" w:rsidRDefault="00AE5BA6" w:rsidP="00AE5BA6">
      <w:pPr>
        <w:pStyle w:val="ListParagraph"/>
        <w:spacing w:line="360" w:lineRule="auto"/>
        <w:ind w:left="810"/>
        <w:jc w:val="both"/>
        <w:rPr>
          <w:rFonts w:asciiTheme="majorBidi" w:hAnsiTheme="majorBidi" w:cstheme="majorBidi"/>
          <w:sz w:val="10"/>
          <w:szCs w:val="10"/>
        </w:rPr>
      </w:pPr>
    </w:p>
    <w:p w14:paraId="6C28A4A1" w14:textId="6F74B6F4" w:rsidR="00AE5BA6" w:rsidRPr="00AE5BA6" w:rsidRDefault="008038A1" w:rsidP="00AE5BA6">
      <w:pPr>
        <w:pStyle w:val="ListParagraph"/>
        <w:numPr>
          <w:ilvl w:val="0"/>
          <w:numId w:val="5"/>
        </w:numPr>
        <w:spacing w:line="360" w:lineRule="auto"/>
        <w:jc w:val="both"/>
        <w:rPr>
          <w:rFonts w:asciiTheme="majorBidi" w:hAnsiTheme="majorBidi" w:cstheme="majorBidi"/>
          <w:sz w:val="24"/>
          <w:szCs w:val="24"/>
        </w:rPr>
      </w:pPr>
      <w:r w:rsidRPr="008038A1">
        <w:rPr>
          <w:rFonts w:asciiTheme="majorBidi" w:hAnsiTheme="majorBidi" w:cstheme="majorBidi"/>
          <w:sz w:val="24"/>
          <w:szCs w:val="24"/>
        </w:rPr>
        <w:t>The supervisor, in collaboration with the student, determines the thesis topic, which may include areas like in silico s</w:t>
      </w:r>
      <w:r w:rsidR="00AE5BA6">
        <w:rPr>
          <w:rFonts w:asciiTheme="majorBidi" w:hAnsiTheme="majorBidi" w:cstheme="majorBidi"/>
          <w:sz w:val="24"/>
          <w:szCs w:val="24"/>
        </w:rPr>
        <w:t>tudies or systematic reviews</w:t>
      </w:r>
      <w:r w:rsidRPr="008038A1">
        <w:rPr>
          <w:rFonts w:asciiTheme="majorBidi" w:hAnsiTheme="majorBidi" w:cstheme="majorBidi"/>
          <w:sz w:val="24"/>
          <w:szCs w:val="24"/>
        </w:rPr>
        <w:t>.</w:t>
      </w:r>
    </w:p>
    <w:p w14:paraId="523813D4" w14:textId="77777777" w:rsidR="00A1189A" w:rsidRPr="00A1189A" w:rsidRDefault="008038A1" w:rsidP="002F56F2">
      <w:pPr>
        <w:pStyle w:val="ListParagraph"/>
        <w:spacing w:line="360" w:lineRule="auto"/>
        <w:ind w:left="810"/>
        <w:jc w:val="both"/>
        <w:rPr>
          <w:rFonts w:asciiTheme="majorBidi" w:hAnsiTheme="majorBidi" w:cstheme="majorBidi"/>
          <w:b/>
          <w:bCs/>
        </w:rPr>
      </w:pPr>
      <w:r w:rsidRPr="00A1189A">
        <w:rPr>
          <w:rFonts w:asciiTheme="majorBidi" w:hAnsiTheme="majorBidi" w:cstheme="majorBidi"/>
          <w:b/>
          <w:bCs/>
          <w:i/>
          <w:iCs/>
        </w:rPr>
        <w:t>Notes:</w:t>
      </w:r>
    </w:p>
    <w:p w14:paraId="52472D01" w14:textId="222F34FD" w:rsidR="006A48B5" w:rsidRDefault="008038A1" w:rsidP="00AE5BA6">
      <w:pPr>
        <w:pStyle w:val="ListParagraph"/>
        <w:numPr>
          <w:ilvl w:val="0"/>
          <w:numId w:val="6"/>
        </w:numPr>
        <w:spacing w:line="360" w:lineRule="auto"/>
        <w:jc w:val="both"/>
        <w:rPr>
          <w:rFonts w:asciiTheme="majorBidi" w:hAnsiTheme="majorBidi" w:cstheme="majorBidi"/>
          <w:sz w:val="24"/>
          <w:szCs w:val="24"/>
        </w:rPr>
      </w:pPr>
      <w:r w:rsidRPr="00B25CF6">
        <w:rPr>
          <w:rFonts w:asciiTheme="majorBidi" w:hAnsiTheme="majorBidi" w:cstheme="majorBidi"/>
          <w:sz w:val="24"/>
          <w:szCs w:val="24"/>
        </w:rPr>
        <w:t>Conducting studies on the country's macro health requires approval from the University's Graduate and International Affairs Council. This approval process ensures that all such endeavors align with the University's ethical guidelines, research protocols, and international engagement strategies</w:t>
      </w:r>
      <w:r>
        <w:rPr>
          <w:rFonts w:asciiTheme="majorBidi" w:hAnsiTheme="majorBidi" w:cstheme="majorBidi"/>
          <w:sz w:val="24"/>
          <w:szCs w:val="24"/>
        </w:rPr>
        <w:t>.</w:t>
      </w:r>
    </w:p>
    <w:p w14:paraId="081092B3" w14:textId="77777777" w:rsidR="00AE5BA6" w:rsidRPr="00AE5BA6" w:rsidRDefault="00AE5BA6" w:rsidP="00AE5BA6">
      <w:pPr>
        <w:pStyle w:val="ListParagraph"/>
        <w:spacing w:line="360" w:lineRule="auto"/>
        <w:ind w:left="1170"/>
        <w:jc w:val="both"/>
        <w:rPr>
          <w:rFonts w:asciiTheme="majorBidi" w:hAnsiTheme="majorBidi" w:cstheme="majorBidi"/>
          <w:sz w:val="12"/>
          <w:szCs w:val="12"/>
        </w:rPr>
      </w:pPr>
    </w:p>
    <w:p w14:paraId="35999D8E" w14:textId="2291154D" w:rsidR="00AE5BA6" w:rsidRDefault="000770F6" w:rsidP="00AE5BA6">
      <w:pPr>
        <w:pStyle w:val="ListParagraph"/>
        <w:numPr>
          <w:ilvl w:val="0"/>
          <w:numId w:val="5"/>
        </w:numPr>
        <w:spacing w:line="360" w:lineRule="auto"/>
        <w:rPr>
          <w:rFonts w:asciiTheme="majorBidi" w:hAnsiTheme="majorBidi" w:cstheme="majorBidi"/>
          <w:sz w:val="24"/>
          <w:szCs w:val="24"/>
        </w:rPr>
      </w:pPr>
      <w:r w:rsidRPr="00961C5F">
        <w:rPr>
          <w:rFonts w:asciiTheme="majorBidi" w:hAnsiTheme="majorBidi" w:cstheme="majorBidi"/>
          <w:sz w:val="24"/>
          <w:szCs w:val="24"/>
        </w:rPr>
        <w:t>The maximum number of theses of international students that each supervisor can supervise at the same time is at most 5 theses.</w:t>
      </w:r>
    </w:p>
    <w:p w14:paraId="32EADE60" w14:textId="77777777" w:rsidR="00AE5BA6" w:rsidRPr="00E726F1" w:rsidRDefault="00AE5BA6" w:rsidP="00AE5BA6">
      <w:pPr>
        <w:spacing w:line="360" w:lineRule="auto"/>
        <w:ind w:left="450"/>
        <w:rPr>
          <w:rFonts w:asciiTheme="majorBidi" w:hAnsiTheme="majorBidi" w:cstheme="majorBidi"/>
          <w:sz w:val="6"/>
          <w:szCs w:val="6"/>
        </w:rPr>
      </w:pPr>
    </w:p>
    <w:p w14:paraId="3E23FE66" w14:textId="57EF900E" w:rsidR="00AE5BA6" w:rsidRDefault="000770F6" w:rsidP="00E726F1">
      <w:pPr>
        <w:pStyle w:val="ListParagraph"/>
        <w:numPr>
          <w:ilvl w:val="0"/>
          <w:numId w:val="5"/>
        </w:numPr>
        <w:spacing w:line="360" w:lineRule="auto"/>
        <w:rPr>
          <w:rFonts w:asciiTheme="majorBidi" w:hAnsiTheme="majorBidi" w:cstheme="majorBidi"/>
          <w:sz w:val="24"/>
          <w:szCs w:val="24"/>
        </w:rPr>
      </w:pPr>
      <w:r w:rsidRPr="00961C5F">
        <w:rPr>
          <w:rFonts w:asciiTheme="majorBidi" w:hAnsiTheme="majorBidi" w:cstheme="majorBidi"/>
          <w:sz w:val="24"/>
          <w:szCs w:val="24"/>
        </w:rPr>
        <w:t>In exceptional circumstances, the decision making regarding the simultaneous guidance of thesis more than the above number is the responsibility of the Postgraduate Education Council of the relevant-faculty and with the approval of the Research Department of the Vice Chancellor of International Affairs.</w:t>
      </w:r>
    </w:p>
    <w:p w14:paraId="1C764C5E" w14:textId="62EDFCBB" w:rsidR="00E726F1" w:rsidRPr="00E726F1" w:rsidRDefault="00E726F1" w:rsidP="00E726F1">
      <w:pPr>
        <w:spacing w:line="360" w:lineRule="auto"/>
        <w:rPr>
          <w:rFonts w:asciiTheme="majorBidi" w:hAnsiTheme="majorBidi" w:cstheme="majorBidi"/>
          <w:sz w:val="2"/>
          <w:szCs w:val="2"/>
        </w:rPr>
      </w:pPr>
    </w:p>
    <w:p w14:paraId="393CEAE9" w14:textId="6C3081B5" w:rsidR="000770F6" w:rsidRDefault="006B79F9" w:rsidP="00AE5BA6">
      <w:pPr>
        <w:pStyle w:val="ListParagraph"/>
        <w:numPr>
          <w:ilvl w:val="0"/>
          <w:numId w:val="5"/>
        </w:numPr>
        <w:spacing w:line="360" w:lineRule="auto"/>
        <w:rPr>
          <w:rFonts w:asciiTheme="majorBidi" w:hAnsiTheme="majorBidi" w:cstheme="majorBidi"/>
          <w:sz w:val="24"/>
          <w:szCs w:val="24"/>
        </w:rPr>
      </w:pPr>
      <w:r w:rsidRPr="00961C5F">
        <w:rPr>
          <w:rFonts w:asciiTheme="majorBidi" w:hAnsiTheme="majorBidi" w:cstheme="majorBidi"/>
          <w:sz w:val="24"/>
          <w:szCs w:val="24"/>
        </w:rPr>
        <w:t>With the suggestion of the supervisor and the approval of the graduate education council of the faculty, one or two faculty members or prominent experts and researchers, related to the topic of the thesis, can be selected as an advisor professor.</w:t>
      </w:r>
      <w:r w:rsidRPr="00961C5F">
        <w:rPr>
          <w:sz w:val="24"/>
          <w:szCs w:val="24"/>
        </w:rPr>
        <w:t xml:space="preserve"> </w:t>
      </w:r>
      <w:r w:rsidRPr="00961C5F">
        <w:rPr>
          <w:rFonts w:asciiTheme="majorBidi" w:hAnsiTheme="majorBidi" w:cstheme="majorBidi"/>
          <w:sz w:val="24"/>
          <w:szCs w:val="24"/>
        </w:rPr>
        <w:t>An advisor professor</w:t>
      </w:r>
      <w:r w:rsidR="00E726F1">
        <w:rPr>
          <w:rFonts w:asciiTheme="majorBidi" w:hAnsiTheme="majorBidi" w:cstheme="majorBidi"/>
          <w:sz w:val="24"/>
          <w:szCs w:val="24"/>
        </w:rPr>
        <w:t xml:space="preserve"> or second supervisor</w:t>
      </w:r>
      <w:r w:rsidRPr="00961C5F">
        <w:rPr>
          <w:rFonts w:asciiTheme="majorBidi" w:hAnsiTheme="majorBidi" w:cstheme="majorBidi"/>
          <w:sz w:val="24"/>
          <w:szCs w:val="24"/>
        </w:rPr>
        <w:t xml:space="preserve"> can be a member from the home country.</w:t>
      </w:r>
    </w:p>
    <w:p w14:paraId="5107E439" w14:textId="20EB3F33" w:rsidR="00AE5BA6" w:rsidRPr="00E726F1" w:rsidRDefault="00AE5BA6" w:rsidP="00AE5BA6">
      <w:pPr>
        <w:spacing w:line="360" w:lineRule="auto"/>
        <w:rPr>
          <w:rFonts w:asciiTheme="majorBidi" w:hAnsiTheme="majorBidi" w:cstheme="majorBidi"/>
          <w:sz w:val="2"/>
          <w:szCs w:val="2"/>
        </w:rPr>
      </w:pPr>
    </w:p>
    <w:p w14:paraId="5A3BE2DF" w14:textId="16E39442" w:rsidR="00A1189A" w:rsidRPr="00AE5BA6" w:rsidRDefault="000770F6" w:rsidP="00AE5BA6">
      <w:pPr>
        <w:pStyle w:val="ListParagraph"/>
        <w:numPr>
          <w:ilvl w:val="0"/>
          <w:numId w:val="5"/>
        </w:numPr>
        <w:spacing w:line="360" w:lineRule="auto"/>
        <w:rPr>
          <w:rFonts w:asciiTheme="majorBidi" w:hAnsiTheme="majorBidi" w:cstheme="majorBidi"/>
          <w:sz w:val="24"/>
          <w:szCs w:val="24"/>
        </w:rPr>
      </w:pPr>
      <w:r w:rsidRPr="00A1189A">
        <w:rPr>
          <w:rFonts w:asciiTheme="majorBidi" w:hAnsiTheme="majorBidi" w:cstheme="majorBidi"/>
          <w:sz w:val="24"/>
          <w:szCs w:val="24"/>
        </w:rPr>
        <w:t>Tuition fees for supervisors and advisors in student thesis will be calculated and paid based on the thesis unit equivalency guidelines and taking into account the coefficient approved by the Vice Chancellor of International Affairs.</w:t>
      </w:r>
      <w:r w:rsidR="00F64C11" w:rsidRPr="00A1189A">
        <w:rPr>
          <w:sz w:val="24"/>
          <w:szCs w:val="24"/>
        </w:rPr>
        <w:t xml:space="preserve"> </w:t>
      </w:r>
    </w:p>
    <w:p w14:paraId="33BB7634" w14:textId="7B0A4782" w:rsidR="00AE5BA6" w:rsidRPr="00E726F1" w:rsidRDefault="00AE5BA6" w:rsidP="00AE5BA6">
      <w:pPr>
        <w:spacing w:line="360" w:lineRule="auto"/>
        <w:rPr>
          <w:rFonts w:asciiTheme="majorBidi" w:hAnsiTheme="majorBidi" w:cstheme="majorBidi"/>
          <w:sz w:val="2"/>
          <w:szCs w:val="2"/>
        </w:rPr>
      </w:pPr>
    </w:p>
    <w:p w14:paraId="2351B0F7" w14:textId="5099E3AD" w:rsidR="000770F6" w:rsidRDefault="000770F6" w:rsidP="00AE5BA6">
      <w:pPr>
        <w:pStyle w:val="ListParagraph"/>
        <w:numPr>
          <w:ilvl w:val="0"/>
          <w:numId w:val="5"/>
        </w:numPr>
        <w:spacing w:line="360" w:lineRule="auto"/>
        <w:rPr>
          <w:rFonts w:asciiTheme="majorBidi" w:hAnsiTheme="majorBidi" w:cstheme="majorBidi"/>
          <w:sz w:val="24"/>
          <w:szCs w:val="24"/>
        </w:rPr>
      </w:pPr>
      <w:r w:rsidRPr="00961C5F">
        <w:rPr>
          <w:rFonts w:asciiTheme="majorBidi" w:hAnsiTheme="majorBidi" w:cstheme="majorBidi"/>
          <w:sz w:val="24"/>
          <w:szCs w:val="24"/>
        </w:rPr>
        <w:t xml:space="preserve">Evaluation of the thesis in the defense session by a panel consisting of </w:t>
      </w:r>
      <w:r w:rsidR="006B79F9" w:rsidRPr="00961C5F">
        <w:rPr>
          <w:rFonts w:asciiTheme="majorBidi" w:hAnsiTheme="majorBidi" w:cstheme="majorBidi"/>
          <w:sz w:val="24"/>
          <w:szCs w:val="24"/>
        </w:rPr>
        <w:t>the, supervisor, advisor</w:t>
      </w:r>
      <w:r w:rsidRPr="00961C5F">
        <w:rPr>
          <w:rFonts w:asciiTheme="majorBidi" w:hAnsiTheme="majorBidi" w:cstheme="majorBidi"/>
          <w:sz w:val="24"/>
          <w:szCs w:val="24"/>
        </w:rPr>
        <w:t xml:space="preserve"> or advisors and one representative of the Graduate Education Council of the Faculty and two people from the faculty members or experts and researchers inside or outside the university as supervisors with the right to vote are proposed by the</w:t>
      </w:r>
      <w:r w:rsidR="006A48B5" w:rsidRPr="00961C5F">
        <w:rPr>
          <w:rFonts w:asciiTheme="majorBidi" w:hAnsiTheme="majorBidi" w:cstheme="majorBidi"/>
          <w:sz w:val="24"/>
          <w:szCs w:val="24"/>
        </w:rPr>
        <w:t xml:space="preserve"> Department </w:t>
      </w:r>
      <w:r w:rsidRPr="00961C5F">
        <w:rPr>
          <w:rFonts w:asciiTheme="majorBidi" w:hAnsiTheme="majorBidi" w:cstheme="majorBidi"/>
          <w:sz w:val="24"/>
          <w:szCs w:val="24"/>
        </w:rPr>
        <w:t>and approved by the graduate education council of</w:t>
      </w:r>
      <w:r w:rsidR="00CE69D3" w:rsidRPr="00961C5F">
        <w:rPr>
          <w:rFonts w:asciiTheme="majorBidi" w:hAnsiTheme="majorBidi" w:cstheme="majorBidi"/>
          <w:sz w:val="24"/>
          <w:szCs w:val="24"/>
        </w:rPr>
        <w:t xml:space="preserve"> the faculty. The </w:t>
      </w:r>
      <w:r w:rsidRPr="00961C5F">
        <w:rPr>
          <w:rFonts w:asciiTheme="majorBidi" w:hAnsiTheme="majorBidi" w:cstheme="majorBidi"/>
          <w:sz w:val="24"/>
          <w:szCs w:val="24"/>
        </w:rPr>
        <w:t>advisor who is citizen of the country of origin is allowed to participate in the meetings virtually as well but he/she must accompany and actively supervise the thesis in all stages.</w:t>
      </w:r>
    </w:p>
    <w:p w14:paraId="3AC04687" w14:textId="781F299E" w:rsidR="00AE5BA6" w:rsidRPr="00E726F1" w:rsidRDefault="00AE5BA6" w:rsidP="00AE5BA6">
      <w:pPr>
        <w:spacing w:line="360" w:lineRule="auto"/>
        <w:rPr>
          <w:rFonts w:asciiTheme="majorBidi" w:hAnsiTheme="majorBidi" w:cstheme="majorBidi"/>
          <w:sz w:val="2"/>
          <w:szCs w:val="2"/>
        </w:rPr>
      </w:pPr>
    </w:p>
    <w:p w14:paraId="0DBA39E8" w14:textId="360B9318" w:rsidR="0099695A" w:rsidRDefault="000770F6" w:rsidP="00AE5BA6">
      <w:pPr>
        <w:pStyle w:val="ListParagraph"/>
        <w:numPr>
          <w:ilvl w:val="0"/>
          <w:numId w:val="5"/>
        </w:numPr>
        <w:spacing w:line="360" w:lineRule="auto"/>
        <w:rPr>
          <w:rFonts w:asciiTheme="majorBidi" w:hAnsiTheme="majorBidi" w:cstheme="majorBidi"/>
          <w:sz w:val="24"/>
          <w:szCs w:val="24"/>
        </w:rPr>
      </w:pPr>
      <w:r w:rsidRPr="00961C5F">
        <w:rPr>
          <w:rFonts w:asciiTheme="majorBidi" w:hAnsiTheme="majorBidi" w:cstheme="majorBidi"/>
          <w:sz w:val="24"/>
          <w:szCs w:val="24"/>
        </w:rPr>
        <w:t>The student is allowed to defend the thesis when he has successfully completed all his educational courses and the completion of his thesis has been announced by the supervisor to the graduate education council of the faculty in written form.</w:t>
      </w:r>
    </w:p>
    <w:p w14:paraId="47EE0665" w14:textId="7B5B35BE" w:rsidR="00E726F1" w:rsidRPr="00AE5BA6" w:rsidRDefault="00E726F1" w:rsidP="00AE5BA6">
      <w:pPr>
        <w:spacing w:line="360" w:lineRule="auto"/>
        <w:rPr>
          <w:rFonts w:asciiTheme="majorBidi" w:hAnsiTheme="majorBidi" w:cstheme="majorBidi"/>
          <w:sz w:val="12"/>
          <w:szCs w:val="12"/>
        </w:rPr>
      </w:pPr>
    </w:p>
    <w:p w14:paraId="3C4C440F" w14:textId="77777777" w:rsidR="00584708" w:rsidRPr="00961C5F" w:rsidRDefault="00584708" w:rsidP="006A48B5">
      <w:pPr>
        <w:pStyle w:val="ListParagraph"/>
        <w:numPr>
          <w:ilvl w:val="0"/>
          <w:numId w:val="5"/>
        </w:numPr>
        <w:spacing w:line="360" w:lineRule="auto"/>
        <w:jc w:val="both"/>
        <w:rPr>
          <w:rFonts w:asciiTheme="majorBidi" w:hAnsiTheme="majorBidi" w:cstheme="majorBidi"/>
          <w:sz w:val="24"/>
          <w:szCs w:val="24"/>
        </w:rPr>
      </w:pPr>
      <w:r w:rsidRPr="00961C5F">
        <w:rPr>
          <w:rFonts w:asciiTheme="majorBidi" w:hAnsiTheme="majorBidi" w:cstheme="majorBidi"/>
          <w:sz w:val="24"/>
          <w:szCs w:val="24"/>
        </w:rPr>
        <w:t>At the end of the defense session, after examining the originality and correctness of the thesis, the jury levels its score with an emphasis on the grade as follows:</w:t>
      </w:r>
    </w:p>
    <w:tbl>
      <w:tblPr>
        <w:tblStyle w:val="TableGrid"/>
        <w:tblW w:w="0" w:type="auto"/>
        <w:jc w:val="center"/>
        <w:tblLook w:val="04A0" w:firstRow="1" w:lastRow="0" w:firstColumn="1" w:lastColumn="0" w:noHBand="0" w:noVBand="1"/>
      </w:tblPr>
      <w:tblGrid>
        <w:gridCol w:w="2358"/>
        <w:gridCol w:w="2430"/>
      </w:tblGrid>
      <w:tr w:rsidR="00584708" w14:paraId="043D1A74" w14:textId="77777777" w:rsidTr="00584708">
        <w:trPr>
          <w:jc w:val="center"/>
        </w:trPr>
        <w:tc>
          <w:tcPr>
            <w:tcW w:w="2358" w:type="dxa"/>
          </w:tcPr>
          <w:p w14:paraId="54DBD7ED" w14:textId="77777777" w:rsidR="00584708" w:rsidRPr="00961C5F" w:rsidRDefault="00584708" w:rsidP="00584708">
            <w:pPr>
              <w:spacing w:line="360" w:lineRule="auto"/>
              <w:jc w:val="center"/>
              <w:rPr>
                <w:rFonts w:asciiTheme="majorBidi" w:hAnsiTheme="majorBidi" w:cstheme="majorBidi"/>
                <w:b/>
                <w:bCs/>
                <w:sz w:val="24"/>
                <w:szCs w:val="24"/>
              </w:rPr>
            </w:pPr>
            <w:r w:rsidRPr="00961C5F">
              <w:rPr>
                <w:rFonts w:asciiTheme="majorBidi" w:hAnsiTheme="majorBidi" w:cstheme="majorBidi"/>
                <w:b/>
                <w:bCs/>
                <w:sz w:val="24"/>
                <w:szCs w:val="24"/>
              </w:rPr>
              <w:t>Score</w:t>
            </w:r>
          </w:p>
        </w:tc>
        <w:tc>
          <w:tcPr>
            <w:tcW w:w="2430" w:type="dxa"/>
          </w:tcPr>
          <w:p w14:paraId="10F78F32" w14:textId="77777777" w:rsidR="00584708" w:rsidRPr="00961C5F" w:rsidRDefault="00584708" w:rsidP="00584708">
            <w:pPr>
              <w:spacing w:line="360" w:lineRule="auto"/>
              <w:jc w:val="center"/>
              <w:rPr>
                <w:rFonts w:asciiTheme="majorBidi" w:hAnsiTheme="majorBidi" w:cstheme="majorBidi"/>
                <w:b/>
                <w:bCs/>
                <w:sz w:val="24"/>
                <w:szCs w:val="24"/>
              </w:rPr>
            </w:pPr>
            <w:r w:rsidRPr="00961C5F">
              <w:rPr>
                <w:rFonts w:asciiTheme="majorBidi" w:hAnsiTheme="majorBidi" w:cstheme="majorBidi"/>
                <w:b/>
                <w:bCs/>
                <w:sz w:val="24"/>
                <w:szCs w:val="24"/>
              </w:rPr>
              <w:t>Degree</w:t>
            </w:r>
          </w:p>
        </w:tc>
      </w:tr>
      <w:tr w:rsidR="00584708" w14:paraId="52A0773A" w14:textId="77777777" w:rsidTr="00584708">
        <w:trPr>
          <w:jc w:val="center"/>
        </w:trPr>
        <w:tc>
          <w:tcPr>
            <w:tcW w:w="2358" w:type="dxa"/>
          </w:tcPr>
          <w:p w14:paraId="372C8AD7" w14:textId="4763EE50"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18-20</w:t>
            </w:r>
          </w:p>
        </w:tc>
        <w:tc>
          <w:tcPr>
            <w:tcW w:w="2430" w:type="dxa"/>
          </w:tcPr>
          <w:p w14:paraId="42D72482" w14:textId="77777777"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Excellent</w:t>
            </w:r>
          </w:p>
        </w:tc>
      </w:tr>
      <w:tr w:rsidR="00584708" w14:paraId="19BEC768" w14:textId="77777777" w:rsidTr="00584708">
        <w:trPr>
          <w:jc w:val="center"/>
        </w:trPr>
        <w:tc>
          <w:tcPr>
            <w:tcW w:w="2358" w:type="dxa"/>
          </w:tcPr>
          <w:p w14:paraId="710ACA67" w14:textId="66CCA319"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17-1</w:t>
            </w:r>
            <w:r w:rsidR="00961C5F" w:rsidRPr="00E726F1">
              <w:rPr>
                <w:rFonts w:asciiTheme="majorBidi" w:hAnsiTheme="majorBidi" w:cstheme="majorBidi"/>
              </w:rPr>
              <w:t>7</w:t>
            </w:r>
            <w:r w:rsidRPr="00E726F1">
              <w:rPr>
                <w:rFonts w:asciiTheme="majorBidi" w:hAnsiTheme="majorBidi" w:cstheme="majorBidi"/>
              </w:rPr>
              <w:t>.</w:t>
            </w:r>
            <w:r w:rsidR="00961C5F" w:rsidRPr="00E726F1">
              <w:rPr>
                <w:rFonts w:asciiTheme="majorBidi" w:hAnsiTheme="majorBidi" w:cstheme="majorBidi"/>
              </w:rPr>
              <w:t>9</w:t>
            </w:r>
            <w:r w:rsidRPr="00E726F1">
              <w:rPr>
                <w:rFonts w:asciiTheme="majorBidi" w:hAnsiTheme="majorBidi" w:cstheme="majorBidi"/>
              </w:rPr>
              <w:t>9</w:t>
            </w:r>
          </w:p>
        </w:tc>
        <w:tc>
          <w:tcPr>
            <w:tcW w:w="2430" w:type="dxa"/>
          </w:tcPr>
          <w:p w14:paraId="4603C58F" w14:textId="77777777"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Very well</w:t>
            </w:r>
          </w:p>
        </w:tc>
      </w:tr>
      <w:tr w:rsidR="00584708" w14:paraId="199A9882" w14:textId="77777777" w:rsidTr="00584708">
        <w:trPr>
          <w:jc w:val="center"/>
        </w:trPr>
        <w:tc>
          <w:tcPr>
            <w:tcW w:w="2358" w:type="dxa"/>
          </w:tcPr>
          <w:p w14:paraId="46F4AD0F" w14:textId="77777777"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15.5-16.99</w:t>
            </w:r>
          </w:p>
        </w:tc>
        <w:tc>
          <w:tcPr>
            <w:tcW w:w="2430" w:type="dxa"/>
          </w:tcPr>
          <w:p w14:paraId="339FEED8" w14:textId="77777777"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Good</w:t>
            </w:r>
          </w:p>
        </w:tc>
      </w:tr>
      <w:tr w:rsidR="00584708" w14:paraId="4DBE3023" w14:textId="77777777" w:rsidTr="00584708">
        <w:trPr>
          <w:jc w:val="center"/>
        </w:trPr>
        <w:tc>
          <w:tcPr>
            <w:tcW w:w="2358" w:type="dxa"/>
          </w:tcPr>
          <w:p w14:paraId="5AD96401" w14:textId="77777777"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14-15.49</w:t>
            </w:r>
          </w:p>
        </w:tc>
        <w:tc>
          <w:tcPr>
            <w:tcW w:w="2430" w:type="dxa"/>
          </w:tcPr>
          <w:p w14:paraId="60DE5DB7" w14:textId="77777777"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Acceptable</w:t>
            </w:r>
          </w:p>
        </w:tc>
      </w:tr>
      <w:tr w:rsidR="00584708" w14:paraId="7402D103" w14:textId="77777777" w:rsidTr="00584708">
        <w:trPr>
          <w:jc w:val="center"/>
        </w:trPr>
        <w:tc>
          <w:tcPr>
            <w:tcW w:w="2358" w:type="dxa"/>
          </w:tcPr>
          <w:p w14:paraId="144995D2" w14:textId="77777777"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Less than 14</w:t>
            </w:r>
          </w:p>
        </w:tc>
        <w:tc>
          <w:tcPr>
            <w:tcW w:w="2430" w:type="dxa"/>
          </w:tcPr>
          <w:p w14:paraId="66054A5D" w14:textId="77777777" w:rsidR="00584708" w:rsidRPr="00E726F1" w:rsidRDefault="00584708" w:rsidP="00584708">
            <w:pPr>
              <w:spacing w:line="360" w:lineRule="auto"/>
              <w:jc w:val="center"/>
              <w:rPr>
                <w:rFonts w:asciiTheme="majorBidi" w:hAnsiTheme="majorBidi" w:cstheme="majorBidi"/>
              </w:rPr>
            </w:pPr>
            <w:r w:rsidRPr="00E726F1">
              <w:rPr>
                <w:rFonts w:asciiTheme="majorBidi" w:hAnsiTheme="majorBidi" w:cstheme="majorBidi"/>
              </w:rPr>
              <w:t>Unacceptable</w:t>
            </w:r>
          </w:p>
        </w:tc>
      </w:tr>
    </w:tbl>
    <w:p w14:paraId="2B194A44" w14:textId="1AF0C70F" w:rsidR="00543ACF" w:rsidRPr="00E726F1" w:rsidRDefault="00543ACF" w:rsidP="002F56F2">
      <w:pPr>
        <w:spacing w:line="360" w:lineRule="auto"/>
        <w:jc w:val="both"/>
        <w:rPr>
          <w:rFonts w:asciiTheme="majorBidi" w:hAnsiTheme="majorBidi" w:cstheme="majorBidi"/>
          <w:sz w:val="12"/>
          <w:szCs w:val="12"/>
          <w:lang w:bidi="fa-IR"/>
        </w:rPr>
      </w:pPr>
    </w:p>
    <w:p w14:paraId="67874005" w14:textId="24912523" w:rsidR="00A1189A" w:rsidRPr="00E726F1" w:rsidRDefault="00961C5F" w:rsidP="00E726F1">
      <w:pPr>
        <w:pStyle w:val="ListParagraph"/>
        <w:numPr>
          <w:ilvl w:val="0"/>
          <w:numId w:val="5"/>
        </w:numPr>
        <w:spacing w:line="360" w:lineRule="auto"/>
        <w:jc w:val="both"/>
        <w:rPr>
          <w:rFonts w:asciiTheme="majorBidi" w:hAnsiTheme="majorBidi" w:cstheme="majorBidi"/>
          <w:sz w:val="24"/>
          <w:szCs w:val="24"/>
          <w:lang w:bidi="fa-IR"/>
        </w:rPr>
      </w:pPr>
      <w:r w:rsidRPr="00961C5F">
        <w:rPr>
          <w:rFonts w:asciiTheme="majorBidi" w:hAnsiTheme="majorBidi" w:cstheme="majorBidi"/>
          <w:sz w:val="24"/>
          <w:szCs w:val="24"/>
          <w:lang w:bidi="fa-IR"/>
        </w:rPr>
        <w:t>Students must submit a draft of their thesis before defending it. Additionally, if the paper is accepted or published in reputable scientific journals within six months, they are eligible to receive up to two extra points.</w:t>
      </w:r>
    </w:p>
    <w:p w14:paraId="7146FB89" w14:textId="2452DB1E" w:rsidR="00A1189A" w:rsidRDefault="00A1189A" w:rsidP="00A1189A">
      <w:pPr>
        <w:pStyle w:val="ListParagraph"/>
        <w:spacing w:line="360" w:lineRule="auto"/>
        <w:ind w:left="810"/>
        <w:jc w:val="both"/>
        <w:rPr>
          <w:rFonts w:asciiTheme="majorBidi" w:hAnsiTheme="majorBidi" w:cstheme="majorBidi"/>
          <w:b/>
          <w:bCs/>
          <w:i/>
          <w:iCs/>
          <w:lang w:bidi="fa-IR"/>
        </w:rPr>
      </w:pPr>
      <w:r w:rsidRPr="00A1189A">
        <w:rPr>
          <w:rFonts w:asciiTheme="majorBidi" w:hAnsiTheme="majorBidi" w:cstheme="majorBidi"/>
          <w:b/>
          <w:bCs/>
          <w:i/>
          <w:iCs/>
          <w:lang w:bidi="fa-IR"/>
        </w:rPr>
        <w:lastRenderedPageBreak/>
        <w:t>Notes:</w:t>
      </w:r>
    </w:p>
    <w:p w14:paraId="13D3CDEE" w14:textId="2CC076EC" w:rsidR="00A1189A" w:rsidRDefault="00A1189A" w:rsidP="00A1189A">
      <w:pPr>
        <w:pStyle w:val="ListParagraph"/>
        <w:numPr>
          <w:ilvl w:val="0"/>
          <w:numId w:val="7"/>
        </w:numPr>
        <w:spacing w:line="360" w:lineRule="auto"/>
        <w:jc w:val="both"/>
        <w:rPr>
          <w:rFonts w:asciiTheme="majorBidi" w:hAnsiTheme="majorBidi" w:cstheme="majorBidi"/>
          <w:sz w:val="24"/>
          <w:szCs w:val="24"/>
          <w:lang w:bidi="fa-IR"/>
        </w:rPr>
      </w:pPr>
      <w:r w:rsidRPr="00A1189A">
        <w:rPr>
          <w:rFonts w:asciiTheme="majorBidi" w:hAnsiTheme="majorBidi" w:cstheme="majorBidi"/>
          <w:sz w:val="24"/>
          <w:szCs w:val="24"/>
          <w:lang w:bidi="fa-IR"/>
        </w:rPr>
        <w:t>Students conducting a systematic review for their thesis must have their paper accepted or published before they can proceed with their defense.</w:t>
      </w:r>
    </w:p>
    <w:p w14:paraId="075A0359" w14:textId="27D34E52" w:rsidR="000E4A11" w:rsidRPr="002F56F2" w:rsidRDefault="002F56F2" w:rsidP="002F56F2">
      <w:pPr>
        <w:pStyle w:val="ListParagraph"/>
        <w:numPr>
          <w:ilvl w:val="0"/>
          <w:numId w:val="7"/>
        </w:numPr>
        <w:spacing w:line="360" w:lineRule="auto"/>
        <w:jc w:val="both"/>
        <w:rPr>
          <w:rFonts w:asciiTheme="majorBidi" w:hAnsiTheme="majorBidi" w:cstheme="majorBidi"/>
          <w:sz w:val="24"/>
          <w:szCs w:val="24"/>
          <w:lang w:bidi="fa-IR"/>
        </w:rPr>
      </w:pPr>
      <w:r w:rsidRPr="002F56F2">
        <w:rPr>
          <w:rFonts w:asciiTheme="majorBidi" w:hAnsiTheme="majorBidi" w:cstheme="majorBidi"/>
          <w:sz w:val="24"/>
          <w:szCs w:val="24"/>
          <w:lang w:bidi="fa-IR"/>
        </w:rPr>
        <w:t>If the thesis budget exceeds $150, the paper must be submitted in compliance with university regulations.</w:t>
      </w:r>
    </w:p>
    <w:p w14:paraId="4F517C54" w14:textId="77777777" w:rsidR="00961C5F" w:rsidRPr="00E726F1" w:rsidRDefault="00961C5F" w:rsidP="002F56F2">
      <w:pPr>
        <w:spacing w:line="360" w:lineRule="auto"/>
        <w:jc w:val="both"/>
        <w:rPr>
          <w:rFonts w:asciiTheme="majorBidi" w:hAnsiTheme="majorBidi" w:cstheme="majorBidi"/>
          <w:sz w:val="2"/>
          <w:szCs w:val="2"/>
        </w:rPr>
      </w:pPr>
    </w:p>
    <w:p w14:paraId="233F12A6" w14:textId="7D43A818" w:rsidR="000E4A11" w:rsidRPr="00961C5F" w:rsidRDefault="000E4A11" w:rsidP="00961C5F">
      <w:pPr>
        <w:pStyle w:val="ListParagraph"/>
        <w:numPr>
          <w:ilvl w:val="0"/>
          <w:numId w:val="5"/>
        </w:numPr>
        <w:spacing w:line="360" w:lineRule="auto"/>
        <w:rPr>
          <w:rFonts w:asciiTheme="majorBidi" w:hAnsiTheme="majorBidi" w:cstheme="majorBidi"/>
          <w:sz w:val="24"/>
          <w:szCs w:val="24"/>
        </w:rPr>
      </w:pPr>
      <w:r w:rsidRPr="00961C5F">
        <w:rPr>
          <w:rFonts w:asciiTheme="majorBidi" w:hAnsiTheme="majorBidi" w:cstheme="majorBidi"/>
          <w:sz w:val="24"/>
          <w:szCs w:val="24"/>
        </w:rPr>
        <w:t>The thesis grade is calculated in the average of the student's total score.</w:t>
      </w:r>
    </w:p>
    <w:p w14:paraId="45BB2F50" w14:textId="77777777" w:rsidR="00543ACF" w:rsidRPr="00E726F1" w:rsidRDefault="00543ACF" w:rsidP="002F56F2">
      <w:pPr>
        <w:spacing w:line="360" w:lineRule="auto"/>
        <w:jc w:val="both"/>
        <w:rPr>
          <w:rFonts w:asciiTheme="majorBidi" w:hAnsiTheme="majorBidi" w:cstheme="majorBidi"/>
          <w:sz w:val="2"/>
          <w:szCs w:val="2"/>
        </w:rPr>
      </w:pPr>
    </w:p>
    <w:p w14:paraId="3C7DD903" w14:textId="52CBC443" w:rsidR="00E726F1" w:rsidRPr="00E726F1" w:rsidRDefault="00543ACF" w:rsidP="00E726F1">
      <w:pPr>
        <w:pStyle w:val="ListParagraph"/>
        <w:numPr>
          <w:ilvl w:val="0"/>
          <w:numId w:val="5"/>
        </w:numPr>
        <w:spacing w:line="360" w:lineRule="auto"/>
        <w:jc w:val="both"/>
        <w:rPr>
          <w:rFonts w:asciiTheme="majorBidi" w:hAnsiTheme="majorBidi" w:cstheme="majorBidi"/>
          <w:sz w:val="24"/>
          <w:szCs w:val="24"/>
        </w:rPr>
      </w:pPr>
      <w:r w:rsidRPr="00B25CF6">
        <w:rPr>
          <w:rFonts w:asciiTheme="majorBidi" w:hAnsiTheme="majorBidi" w:cstheme="majorBidi"/>
          <w:sz w:val="24"/>
          <w:szCs w:val="24"/>
        </w:rPr>
        <w:t>After choosing the thesis, the student is obliged to register for it in the following semesters according to the academic calendar. However, the grade of the thesis in the last academic semester will be considered in the student's record and will be included in the average of the semester and the average of the total grades.</w:t>
      </w:r>
    </w:p>
    <w:p w14:paraId="40AB8694" w14:textId="77777777" w:rsidR="00543ACF" w:rsidRPr="00E726F1" w:rsidRDefault="00543ACF" w:rsidP="000E4A11">
      <w:pPr>
        <w:pStyle w:val="ListParagraph"/>
        <w:spacing w:line="360" w:lineRule="auto"/>
        <w:rPr>
          <w:rFonts w:asciiTheme="majorBidi" w:hAnsiTheme="majorBidi" w:cstheme="majorBidi"/>
          <w:sz w:val="12"/>
          <w:szCs w:val="12"/>
        </w:rPr>
      </w:pPr>
    </w:p>
    <w:p w14:paraId="0F56B54F" w14:textId="77777777" w:rsidR="00543ACF" w:rsidRPr="00B25CF6" w:rsidRDefault="00543ACF" w:rsidP="00961C5F">
      <w:pPr>
        <w:pStyle w:val="ListParagraph"/>
        <w:numPr>
          <w:ilvl w:val="0"/>
          <w:numId w:val="5"/>
        </w:numPr>
        <w:spacing w:line="360" w:lineRule="auto"/>
        <w:jc w:val="both"/>
        <w:rPr>
          <w:rFonts w:asciiTheme="majorBidi" w:hAnsiTheme="majorBidi" w:cstheme="majorBidi"/>
          <w:sz w:val="24"/>
          <w:szCs w:val="24"/>
        </w:rPr>
      </w:pPr>
      <w:r w:rsidRPr="00B25CF6">
        <w:rPr>
          <w:rFonts w:asciiTheme="majorBidi" w:hAnsiTheme="majorBidi" w:cstheme="majorBidi"/>
          <w:sz w:val="24"/>
          <w:szCs w:val="24"/>
        </w:rPr>
        <w:t>If the thesis is deemed unacceptable by the jury, the student can (in a way that does not exceed the maximum period</w:t>
      </w:r>
      <w:r w:rsidR="00851301" w:rsidRPr="00B25CF6">
        <w:rPr>
          <w:rFonts w:asciiTheme="majorBidi" w:hAnsiTheme="majorBidi" w:cstheme="majorBidi"/>
          <w:sz w:val="24"/>
          <w:szCs w:val="24"/>
        </w:rPr>
        <w:t xml:space="preserve"> of his education) complete </w:t>
      </w:r>
      <w:r w:rsidR="000E4A11" w:rsidRPr="00B25CF6">
        <w:rPr>
          <w:rFonts w:asciiTheme="majorBidi" w:hAnsiTheme="majorBidi" w:cstheme="majorBidi"/>
          <w:sz w:val="24"/>
          <w:szCs w:val="24"/>
        </w:rPr>
        <w:t>his, thesis</w:t>
      </w:r>
      <w:r w:rsidRPr="00B25CF6">
        <w:rPr>
          <w:rFonts w:asciiTheme="majorBidi" w:hAnsiTheme="majorBidi" w:cstheme="majorBidi"/>
          <w:sz w:val="24"/>
          <w:szCs w:val="24"/>
        </w:rPr>
        <w:t xml:space="preserve"> and defend it once again at the time determined by the jury.</w:t>
      </w:r>
    </w:p>
    <w:p w14:paraId="0C7658F7" w14:textId="77777777" w:rsidR="00543ACF" w:rsidRPr="00E726F1" w:rsidRDefault="00543ACF" w:rsidP="002F56F2">
      <w:pPr>
        <w:spacing w:line="360" w:lineRule="auto"/>
        <w:jc w:val="both"/>
        <w:rPr>
          <w:rFonts w:asciiTheme="majorBidi" w:hAnsiTheme="majorBidi" w:cstheme="majorBidi"/>
          <w:sz w:val="2"/>
          <w:szCs w:val="2"/>
        </w:rPr>
      </w:pPr>
    </w:p>
    <w:p w14:paraId="2E64E817" w14:textId="64EC5D83" w:rsidR="00851301" w:rsidRDefault="00543ACF" w:rsidP="00E726F1">
      <w:pPr>
        <w:pStyle w:val="ListParagraph"/>
        <w:numPr>
          <w:ilvl w:val="0"/>
          <w:numId w:val="5"/>
        </w:numPr>
        <w:spacing w:line="360" w:lineRule="auto"/>
        <w:jc w:val="both"/>
        <w:rPr>
          <w:rFonts w:asciiTheme="majorBidi" w:hAnsiTheme="majorBidi" w:cstheme="majorBidi"/>
          <w:sz w:val="24"/>
          <w:szCs w:val="24"/>
        </w:rPr>
      </w:pPr>
      <w:r w:rsidRPr="00B25CF6">
        <w:rPr>
          <w:rFonts w:asciiTheme="majorBidi" w:hAnsiTheme="majorBidi" w:cstheme="majorBidi"/>
          <w:sz w:val="24"/>
          <w:szCs w:val="24"/>
        </w:rPr>
        <w:t>It is necessary to send a final version of the thesis of international students to the Research Office of the Vice-Chancellor of International Affairs.</w:t>
      </w:r>
    </w:p>
    <w:p w14:paraId="1C76D371" w14:textId="77777777" w:rsidR="00EC21FE" w:rsidRPr="00EC21FE" w:rsidRDefault="00EC21FE" w:rsidP="00EC21FE">
      <w:pPr>
        <w:pStyle w:val="ListParagraph"/>
        <w:rPr>
          <w:rFonts w:asciiTheme="majorBidi" w:hAnsiTheme="majorBidi" w:cstheme="majorBidi"/>
          <w:sz w:val="24"/>
          <w:szCs w:val="24"/>
        </w:rPr>
      </w:pPr>
    </w:p>
    <w:p w14:paraId="0C07A5F8" w14:textId="77777777" w:rsidR="00EC21FE" w:rsidRDefault="00EC21FE" w:rsidP="00EC21FE">
      <w:pPr>
        <w:pStyle w:val="ListParagraph"/>
        <w:spacing w:line="360" w:lineRule="auto"/>
        <w:ind w:left="360"/>
        <w:jc w:val="both"/>
        <w:rPr>
          <w:rFonts w:asciiTheme="majorBidi" w:hAnsiTheme="majorBidi" w:cstheme="majorBidi"/>
          <w:sz w:val="24"/>
          <w:szCs w:val="24"/>
        </w:rPr>
      </w:pPr>
    </w:p>
    <w:p w14:paraId="62D84A13" w14:textId="77777777" w:rsidR="00EC21FE" w:rsidRDefault="00EC21FE" w:rsidP="00EC21FE">
      <w:pPr>
        <w:pStyle w:val="ListParagraph"/>
        <w:spacing w:line="360" w:lineRule="auto"/>
        <w:ind w:left="360"/>
        <w:jc w:val="both"/>
        <w:rPr>
          <w:rFonts w:asciiTheme="majorBidi" w:hAnsiTheme="majorBidi" w:cstheme="majorBidi"/>
          <w:sz w:val="24"/>
          <w:szCs w:val="24"/>
        </w:rPr>
      </w:pPr>
    </w:p>
    <w:p w14:paraId="456C66CE" w14:textId="77777777" w:rsidR="00EC21FE" w:rsidRDefault="00EC21FE" w:rsidP="00EC21FE">
      <w:pPr>
        <w:pStyle w:val="ListParagraph"/>
        <w:spacing w:line="360" w:lineRule="auto"/>
        <w:ind w:left="360"/>
        <w:jc w:val="both"/>
        <w:rPr>
          <w:rFonts w:asciiTheme="majorBidi" w:hAnsiTheme="majorBidi" w:cstheme="majorBidi"/>
          <w:sz w:val="24"/>
          <w:szCs w:val="24"/>
        </w:rPr>
      </w:pPr>
    </w:p>
    <w:p w14:paraId="1D43AFAF" w14:textId="77777777" w:rsidR="00EC21FE" w:rsidRDefault="00EC21FE" w:rsidP="00EC21FE">
      <w:pPr>
        <w:pStyle w:val="ListParagraph"/>
        <w:spacing w:line="360" w:lineRule="auto"/>
        <w:ind w:left="360"/>
        <w:jc w:val="both"/>
        <w:rPr>
          <w:rFonts w:asciiTheme="majorBidi" w:hAnsiTheme="majorBidi" w:cstheme="majorBidi"/>
          <w:sz w:val="24"/>
          <w:szCs w:val="24"/>
        </w:rPr>
      </w:pPr>
    </w:p>
    <w:p w14:paraId="42E92232" w14:textId="77777777" w:rsidR="00EC21FE" w:rsidRDefault="00EC21FE" w:rsidP="00EC21FE">
      <w:pPr>
        <w:pStyle w:val="ListParagraph"/>
        <w:spacing w:line="360" w:lineRule="auto"/>
        <w:ind w:left="360"/>
        <w:jc w:val="both"/>
        <w:rPr>
          <w:rFonts w:asciiTheme="majorBidi" w:hAnsiTheme="majorBidi" w:cstheme="majorBidi"/>
          <w:sz w:val="24"/>
          <w:szCs w:val="24"/>
        </w:rPr>
      </w:pPr>
    </w:p>
    <w:p w14:paraId="7C95374C" w14:textId="77777777" w:rsidR="00EC21FE" w:rsidRDefault="00EC21FE" w:rsidP="00EC21FE">
      <w:pPr>
        <w:pStyle w:val="ListParagraph"/>
        <w:spacing w:line="360" w:lineRule="auto"/>
        <w:ind w:left="360"/>
        <w:jc w:val="both"/>
        <w:rPr>
          <w:rFonts w:asciiTheme="majorBidi" w:hAnsiTheme="majorBidi" w:cstheme="majorBidi"/>
          <w:sz w:val="24"/>
          <w:szCs w:val="24"/>
        </w:rPr>
      </w:pPr>
    </w:p>
    <w:p w14:paraId="278F04DE" w14:textId="77777777" w:rsidR="008839A5" w:rsidRDefault="008839A5" w:rsidP="00EC21FE">
      <w:pPr>
        <w:pStyle w:val="ListParagraph"/>
        <w:spacing w:line="360" w:lineRule="auto"/>
        <w:ind w:left="360"/>
        <w:jc w:val="both"/>
        <w:rPr>
          <w:rFonts w:asciiTheme="majorBidi" w:hAnsiTheme="majorBidi" w:cstheme="majorBidi"/>
          <w:sz w:val="24"/>
          <w:szCs w:val="24"/>
        </w:rPr>
      </w:pPr>
    </w:p>
    <w:p w14:paraId="7308C8CC" w14:textId="77777777" w:rsidR="008839A5" w:rsidRDefault="008839A5" w:rsidP="00EC21FE">
      <w:pPr>
        <w:pStyle w:val="ListParagraph"/>
        <w:spacing w:line="360" w:lineRule="auto"/>
        <w:ind w:left="360"/>
        <w:jc w:val="both"/>
        <w:rPr>
          <w:rFonts w:asciiTheme="majorBidi" w:hAnsiTheme="majorBidi" w:cstheme="majorBidi"/>
          <w:sz w:val="24"/>
          <w:szCs w:val="24"/>
        </w:rPr>
      </w:pPr>
    </w:p>
    <w:p w14:paraId="7573D442" w14:textId="77777777" w:rsidR="008839A5" w:rsidRDefault="008839A5" w:rsidP="00EC21FE">
      <w:pPr>
        <w:pStyle w:val="ListParagraph"/>
        <w:spacing w:line="360" w:lineRule="auto"/>
        <w:ind w:left="360"/>
        <w:jc w:val="both"/>
        <w:rPr>
          <w:rFonts w:asciiTheme="majorBidi" w:hAnsiTheme="majorBidi" w:cstheme="majorBidi"/>
          <w:sz w:val="24"/>
          <w:szCs w:val="24"/>
        </w:rPr>
      </w:pPr>
    </w:p>
    <w:p w14:paraId="40E590B2" w14:textId="77777777" w:rsidR="008839A5" w:rsidRDefault="008839A5" w:rsidP="00EC21FE">
      <w:pPr>
        <w:pStyle w:val="ListParagraph"/>
        <w:spacing w:line="360" w:lineRule="auto"/>
        <w:ind w:left="360"/>
        <w:jc w:val="both"/>
        <w:rPr>
          <w:rFonts w:asciiTheme="majorBidi" w:hAnsiTheme="majorBidi" w:cstheme="majorBidi"/>
          <w:sz w:val="24"/>
          <w:szCs w:val="24"/>
        </w:rPr>
      </w:pPr>
    </w:p>
    <w:p w14:paraId="123EA586" w14:textId="77777777" w:rsidR="008839A5" w:rsidRDefault="008839A5" w:rsidP="00EC21FE">
      <w:pPr>
        <w:pStyle w:val="ListParagraph"/>
        <w:spacing w:line="360" w:lineRule="auto"/>
        <w:ind w:left="360"/>
        <w:jc w:val="both"/>
        <w:rPr>
          <w:rFonts w:asciiTheme="majorBidi" w:hAnsiTheme="majorBidi" w:cstheme="majorBidi"/>
          <w:sz w:val="24"/>
          <w:szCs w:val="24"/>
        </w:rPr>
      </w:pPr>
    </w:p>
    <w:p w14:paraId="15E77E74" w14:textId="77777777" w:rsidR="00EC21FE" w:rsidRDefault="00EC21FE" w:rsidP="00EC21FE">
      <w:pPr>
        <w:pStyle w:val="ListParagraph"/>
        <w:spacing w:line="360" w:lineRule="auto"/>
        <w:ind w:left="360"/>
        <w:jc w:val="both"/>
        <w:rPr>
          <w:rFonts w:asciiTheme="majorBidi" w:hAnsiTheme="majorBidi" w:cstheme="majorBidi"/>
          <w:sz w:val="24"/>
          <w:szCs w:val="24"/>
        </w:rPr>
      </w:pPr>
    </w:p>
    <w:p w14:paraId="4489EA34" w14:textId="3B3E0072" w:rsidR="00EC21FE" w:rsidRPr="00EC21FE" w:rsidRDefault="00EC21FE" w:rsidP="00EC21FE">
      <w:pPr>
        <w:pStyle w:val="ListParagraph"/>
        <w:spacing w:line="360" w:lineRule="auto"/>
        <w:ind w:left="360"/>
        <w:jc w:val="center"/>
        <w:rPr>
          <w:rFonts w:asciiTheme="majorBidi" w:hAnsiTheme="majorBidi" w:cstheme="majorBidi"/>
          <w:sz w:val="24"/>
          <w:szCs w:val="24"/>
        </w:rPr>
      </w:pPr>
      <w:r>
        <w:rPr>
          <w:rFonts w:asciiTheme="majorBidi" w:hAnsiTheme="majorBidi" w:cstheme="majorBidi"/>
          <w:sz w:val="24"/>
          <w:szCs w:val="24"/>
        </w:rPr>
        <w:t>----------------------------------------------------------------------------------------------------------------------------------</w:t>
      </w:r>
      <w:r w:rsidRPr="00EC21FE">
        <w:rPr>
          <w:rFonts w:asciiTheme="majorBidi" w:hAnsiTheme="majorBidi" w:cstheme="majorBidi"/>
          <w:b/>
          <w:bCs/>
          <w:sz w:val="24"/>
          <w:szCs w:val="24"/>
          <w:lang w:bidi="fa-IR"/>
        </w:rPr>
        <w:t xml:space="preserve">The thesis writing guidelines for international students at </w:t>
      </w:r>
      <w:proofErr w:type="spellStart"/>
      <w:r w:rsidRPr="00EC21FE">
        <w:rPr>
          <w:rFonts w:asciiTheme="majorBidi" w:hAnsiTheme="majorBidi" w:cstheme="majorBidi"/>
          <w:b/>
          <w:bCs/>
          <w:sz w:val="24"/>
          <w:szCs w:val="24"/>
          <w:lang w:bidi="fa-IR"/>
        </w:rPr>
        <w:t>Shahrekord</w:t>
      </w:r>
      <w:proofErr w:type="spellEnd"/>
      <w:r w:rsidRPr="00EC21FE">
        <w:rPr>
          <w:rFonts w:asciiTheme="majorBidi" w:hAnsiTheme="majorBidi" w:cstheme="majorBidi"/>
          <w:b/>
          <w:bCs/>
          <w:sz w:val="24"/>
          <w:szCs w:val="24"/>
          <w:lang w:bidi="fa-IR"/>
        </w:rPr>
        <w:t xml:space="preserve"> University of Medical Sciences comprise 15 sections and were officially approved in September 2025.</w:t>
      </w:r>
    </w:p>
    <w:p w14:paraId="15B681D4" w14:textId="77777777" w:rsidR="002A4133" w:rsidRPr="004B7D4C" w:rsidRDefault="002A4133" w:rsidP="002A4133">
      <w:pPr>
        <w:rPr>
          <w:rFonts w:asciiTheme="majorBidi" w:hAnsiTheme="majorBidi" w:cstheme="majorBidi"/>
          <w:sz w:val="24"/>
          <w:szCs w:val="24"/>
          <w:rtl/>
          <w:lang w:bidi="fa-IR"/>
        </w:rPr>
      </w:pPr>
    </w:p>
    <w:sectPr w:rsidR="002A4133" w:rsidRPr="004B7D4C" w:rsidSect="00DD498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959B" w14:textId="77777777" w:rsidR="00584CB6" w:rsidRDefault="00584CB6" w:rsidP="00F64C11">
      <w:pPr>
        <w:spacing w:after="0" w:line="240" w:lineRule="auto"/>
      </w:pPr>
      <w:r>
        <w:separator/>
      </w:r>
    </w:p>
  </w:endnote>
  <w:endnote w:type="continuationSeparator" w:id="0">
    <w:p w14:paraId="2FD226E1" w14:textId="77777777" w:rsidR="00584CB6" w:rsidRDefault="00584CB6" w:rsidP="00F6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E2C8" w14:textId="77777777" w:rsidR="0086602C" w:rsidRDefault="00866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59921"/>
      <w:docPartObj>
        <w:docPartGallery w:val="Page Numbers (Bottom of Page)"/>
        <w:docPartUnique/>
      </w:docPartObj>
    </w:sdtPr>
    <w:sdtEndPr>
      <w:rPr>
        <w:noProof/>
      </w:rPr>
    </w:sdtEndPr>
    <w:sdtContent>
      <w:p w14:paraId="4DD600D6" w14:textId="082C674C" w:rsidR="00F64C11" w:rsidRDefault="00F64C11">
        <w:pPr>
          <w:pStyle w:val="Footer"/>
          <w:jc w:val="center"/>
        </w:pPr>
        <w:r>
          <w:fldChar w:fldCharType="begin"/>
        </w:r>
        <w:r>
          <w:instrText xml:space="preserve"> PAGE   \* MERGEFORMAT </w:instrText>
        </w:r>
        <w:r>
          <w:fldChar w:fldCharType="separate"/>
        </w:r>
        <w:r w:rsidR="0086602C">
          <w:rPr>
            <w:noProof/>
          </w:rPr>
          <w:t>1</w:t>
        </w:r>
        <w:r>
          <w:rPr>
            <w:noProof/>
          </w:rPr>
          <w:fldChar w:fldCharType="end"/>
        </w:r>
      </w:p>
    </w:sdtContent>
  </w:sdt>
  <w:p w14:paraId="25EB0163" w14:textId="77777777" w:rsidR="00F64C11" w:rsidRDefault="00F64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699A" w14:textId="77777777" w:rsidR="0086602C" w:rsidRDefault="0086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7268" w14:textId="77777777" w:rsidR="00584CB6" w:rsidRDefault="00584CB6" w:rsidP="00F64C11">
      <w:pPr>
        <w:spacing w:after="0" w:line="240" w:lineRule="auto"/>
      </w:pPr>
      <w:r>
        <w:separator/>
      </w:r>
    </w:p>
  </w:footnote>
  <w:footnote w:type="continuationSeparator" w:id="0">
    <w:p w14:paraId="5F0FA0A8" w14:textId="77777777" w:rsidR="00584CB6" w:rsidRDefault="00584CB6" w:rsidP="00F64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60D3" w14:textId="3738E370" w:rsidR="0086602C" w:rsidRDefault="00FB2F1E">
    <w:pPr>
      <w:pStyle w:val="Header"/>
    </w:pPr>
    <w:r>
      <w:rPr>
        <w:noProof/>
      </w:rPr>
      <w:pict w14:anchorId="1C7A0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7" o:spid="_x0000_s2050" type="#_x0000_t75" style="position:absolute;margin-left:0;margin-top:0;width:539.9pt;height:511.9pt;z-index:-251657216;mso-position-horizontal:center;mso-position-horizontal-relative:margin;mso-position-vertical:center;mso-position-vertical-relative:margin" o:allowincell="f">
          <v:imagedata r:id="rId1" o:title="skum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81F2" w14:textId="10EA9BF9" w:rsidR="0086602C" w:rsidRDefault="00FB2F1E">
    <w:pPr>
      <w:pStyle w:val="Header"/>
    </w:pPr>
    <w:r>
      <w:rPr>
        <w:noProof/>
      </w:rPr>
      <w:pict w14:anchorId="136E4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8" o:spid="_x0000_s2051" type="#_x0000_t75" style="position:absolute;margin-left:0;margin-top:0;width:539.9pt;height:511.9pt;z-index:-251656192;mso-position-horizontal:center;mso-position-horizontal-relative:margin;mso-position-vertical:center;mso-position-vertical-relative:margin" o:allowincell="f">
          <v:imagedata r:id="rId1" o:title="skum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AFAC" w14:textId="07E88C45" w:rsidR="0086602C" w:rsidRDefault="00FB2F1E">
    <w:pPr>
      <w:pStyle w:val="Header"/>
    </w:pPr>
    <w:r>
      <w:rPr>
        <w:noProof/>
      </w:rPr>
      <w:pict w14:anchorId="7F59E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6" o:spid="_x0000_s2049" type="#_x0000_t75" style="position:absolute;margin-left:0;margin-top:0;width:539.9pt;height:511.9pt;z-index:-251658240;mso-position-horizontal:center;mso-position-horizontal-relative:margin;mso-position-vertical:center;mso-position-vertical-relative:margin" o:allowincell="f">
          <v:imagedata r:id="rId1" o:title="skum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10A"/>
    <w:multiLevelType w:val="hybridMultilevel"/>
    <w:tmpl w:val="AB78CF98"/>
    <w:lvl w:ilvl="0" w:tplc="42E82D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42059"/>
    <w:multiLevelType w:val="hybridMultilevel"/>
    <w:tmpl w:val="6E8671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F4F4E"/>
    <w:multiLevelType w:val="hybridMultilevel"/>
    <w:tmpl w:val="3E04A496"/>
    <w:lvl w:ilvl="0" w:tplc="F65E174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5635B5E"/>
    <w:multiLevelType w:val="hybridMultilevel"/>
    <w:tmpl w:val="62444A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45992"/>
    <w:multiLevelType w:val="hybridMultilevel"/>
    <w:tmpl w:val="503EBFD0"/>
    <w:lvl w:ilvl="0" w:tplc="8FB6CB3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EB6091"/>
    <w:multiLevelType w:val="hybridMultilevel"/>
    <w:tmpl w:val="DE7019BE"/>
    <w:lvl w:ilvl="0" w:tplc="EA6A69B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6DDA0F93"/>
    <w:multiLevelType w:val="hybridMultilevel"/>
    <w:tmpl w:val="4ECC74D2"/>
    <w:lvl w:ilvl="0" w:tplc="D024AD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081094">
    <w:abstractNumId w:val="1"/>
  </w:num>
  <w:num w:numId="2" w16cid:durableId="21637806">
    <w:abstractNumId w:val="3"/>
  </w:num>
  <w:num w:numId="3" w16cid:durableId="116917229">
    <w:abstractNumId w:val="6"/>
  </w:num>
  <w:num w:numId="4" w16cid:durableId="2080320085">
    <w:abstractNumId w:val="0"/>
  </w:num>
  <w:num w:numId="5" w16cid:durableId="554315246">
    <w:abstractNumId w:val="4"/>
  </w:num>
  <w:num w:numId="6" w16cid:durableId="1428502267">
    <w:abstractNumId w:val="2"/>
  </w:num>
  <w:num w:numId="7" w16cid:durableId="328099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E8"/>
    <w:rsid w:val="000770F6"/>
    <w:rsid w:val="000E4A11"/>
    <w:rsid w:val="001778B4"/>
    <w:rsid w:val="002A4133"/>
    <w:rsid w:val="002F56F2"/>
    <w:rsid w:val="0045519E"/>
    <w:rsid w:val="004B7D4C"/>
    <w:rsid w:val="005408C4"/>
    <w:rsid w:val="00543ACF"/>
    <w:rsid w:val="005662C6"/>
    <w:rsid w:val="00584708"/>
    <w:rsid w:val="00584CB6"/>
    <w:rsid w:val="00595A5F"/>
    <w:rsid w:val="005A07C3"/>
    <w:rsid w:val="005E6DA5"/>
    <w:rsid w:val="006A48B5"/>
    <w:rsid w:val="006B79F9"/>
    <w:rsid w:val="00713DB9"/>
    <w:rsid w:val="0073141D"/>
    <w:rsid w:val="007914CE"/>
    <w:rsid w:val="007D5529"/>
    <w:rsid w:val="008038A1"/>
    <w:rsid w:val="00851301"/>
    <w:rsid w:val="0086602C"/>
    <w:rsid w:val="008839A5"/>
    <w:rsid w:val="00961C5F"/>
    <w:rsid w:val="0099695A"/>
    <w:rsid w:val="009B3517"/>
    <w:rsid w:val="00A1189A"/>
    <w:rsid w:val="00AB03A4"/>
    <w:rsid w:val="00AB1311"/>
    <w:rsid w:val="00AE5BA6"/>
    <w:rsid w:val="00B25CF6"/>
    <w:rsid w:val="00B71864"/>
    <w:rsid w:val="00B96C79"/>
    <w:rsid w:val="00C75865"/>
    <w:rsid w:val="00CE69D3"/>
    <w:rsid w:val="00CF190B"/>
    <w:rsid w:val="00D15E88"/>
    <w:rsid w:val="00D81CE8"/>
    <w:rsid w:val="00D90CAE"/>
    <w:rsid w:val="00DD498D"/>
    <w:rsid w:val="00DE41B6"/>
    <w:rsid w:val="00E107AA"/>
    <w:rsid w:val="00E726F1"/>
    <w:rsid w:val="00EA5FDE"/>
    <w:rsid w:val="00EC21FE"/>
    <w:rsid w:val="00ED6D98"/>
    <w:rsid w:val="00F64C11"/>
    <w:rsid w:val="00F948D2"/>
    <w:rsid w:val="00FB2F1E"/>
    <w:rsid w:val="00FD4FD3"/>
    <w:rsid w:val="00FE73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DC66B8"/>
  <w15:docId w15:val="{9846B605-525D-46FA-89A4-3C18435D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F6"/>
    <w:pPr>
      <w:ind w:left="720"/>
      <w:contextualSpacing/>
    </w:pPr>
  </w:style>
  <w:style w:type="table" w:styleId="TableGrid">
    <w:name w:val="Table Grid"/>
    <w:basedOn w:val="TableNormal"/>
    <w:uiPriority w:val="59"/>
    <w:rsid w:val="00584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301"/>
    <w:rPr>
      <w:rFonts w:ascii="Tahoma" w:hAnsi="Tahoma" w:cs="Tahoma"/>
      <w:sz w:val="16"/>
      <w:szCs w:val="16"/>
    </w:rPr>
  </w:style>
  <w:style w:type="character" w:styleId="Hyperlink">
    <w:name w:val="Hyperlink"/>
    <w:basedOn w:val="DefaultParagraphFont"/>
    <w:uiPriority w:val="99"/>
    <w:unhideWhenUsed/>
    <w:rsid w:val="007914CE"/>
    <w:rPr>
      <w:color w:val="0000FF" w:themeColor="hyperlink"/>
      <w:u w:val="single"/>
    </w:rPr>
  </w:style>
  <w:style w:type="paragraph" w:styleId="Header">
    <w:name w:val="header"/>
    <w:basedOn w:val="Normal"/>
    <w:link w:val="HeaderChar"/>
    <w:uiPriority w:val="99"/>
    <w:unhideWhenUsed/>
    <w:rsid w:val="00F6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11"/>
  </w:style>
  <w:style w:type="paragraph" w:styleId="Footer">
    <w:name w:val="footer"/>
    <w:basedOn w:val="Normal"/>
    <w:link w:val="FooterChar"/>
    <w:uiPriority w:val="99"/>
    <w:unhideWhenUsed/>
    <w:rsid w:val="00F6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71FF6-7722-40C4-8312-829CEDED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salon defae</dc:creator>
  <cp:lastModifiedBy>NooraGP</cp:lastModifiedBy>
  <cp:revision>4</cp:revision>
  <cp:lastPrinted>2025-09-14T16:19:00Z</cp:lastPrinted>
  <dcterms:created xsi:type="dcterms:W3CDTF">2025-09-14T16:18:00Z</dcterms:created>
  <dcterms:modified xsi:type="dcterms:W3CDTF">2025-09-14T16:19:00Z</dcterms:modified>
</cp:coreProperties>
</file>